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王立辉</w:t>
      </w:r>
      <w:r>
        <w:rPr>
          <w:rFonts w:hint="eastAsia"/>
          <w:sz w:val="15"/>
          <w:szCs w:val="15"/>
          <w:highlight w:val="none"/>
        </w:rPr>
        <w:t>，</w:t>
      </w:r>
      <w:r>
        <w:rPr>
          <w:rFonts w:hint="eastAsia"/>
          <w:sz w:val="15"/>
          <w:szCs w:val="15"/>
          <w:highlight w:val="none"/>
          <w:lang w:val="en-US" w:eastAsia="zh-CN"/>
        </w:rPr>
        <w:t>130122197707075212</w:t>
      </w:r>
      <w:r>
        <w:rPr>
          <w:rFonts w:hint="eastAsia"/>
          <w:sz w:val="15"/>
          <w:szCs w:val="15"/>
        </w:rPr>
        <w:t xml:space="preserve">  </w:t>
      </w:r>
      <w:r>
        <w:rPr>
          <w:rFonts w:hint="eastAsia"/>
          <w:sz w:val="15"/>
          <w:szCs w:val="15"/>
          <w:lang w:val="en-US" w:eastAsia="zh-CN"/>
        </w:rPr>
        <w:t>冀A46016D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