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高加明</w:t>
      </w:r>
      <w:r>
        <w:rPr>
          <w:rFonts w:hint="eastAsia"/>
          <w:sz w:val="15"/>
          <w:szCs w:val="15"/>
          <w:highlight w:val="none"/>
        </w:rPr>
        <w:t>，</w:t>
      </w:r>
      <w:r>
        <w:rPr>
          <w:rFonts w:hint="eastAsia"/>
          <w:sz w:val="15"/>
          <w:szCs w:val="15"/>
          <w:highlight w:val="none"/>
          <w:lang w:val="en-US" w:eastAsia="zh-CN"/>
        </w:rPr>
        <w:t>130121198901212813</w:t>
      </w:r>
      <w:r>
        <w:rPr>
          <w:rFonts w:hint="eastAsia"/>
          <w:sz w:val="15"/>
          <w:szCs w:val="15"/>
        </w:rPr>
        <w:t xml:space="preserve">  </w:t>
      </w:r>
      <w:r>
        <w:rPr>
          <w:rFonts w:hint="eastAsia"/>
          <w:sz w:val="15"/>
          <w:szCs w:val="15"/>
          <w:lang w:val="en-US" w:eastAsia="zh-CN"/>
        </w:rPr>
        <w:t>沪A25622A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