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孙建林</w:t>
      </w:r>
      <w:r>
        <w:rPr>
          <w:rFonts w:hint="eastAsia"/>
          <w:sz w:val="15"/>
          <w:szCs w:val="15"/>
          <w:highlight w:val="none"/>
        </w:rPr>
        <w:t>，</w:t>
      </w:r>
      <w:r>
        <w:rPr>
          <w:rFonts w:hint="eastAsia"/>
          <w:sz w:val="15"/>
          <w:szCs w:val="15"/>
          <w:highlight w:val="none"/>
          <w:lang w:val="en-US" w:eastAsia="zh-CN"/>
        </w:rPr>
        <w:t>130121198706041019</w:t>
      </w:r>
      <w:r>
        <w:rPr>
          <w:rFonts w:hint="eastAsia"/>
          <w:sz w:val="15"/>
          <w:szCs w:val="15"/>
        </w:rPr>
        <w:t xml:space="preserve">  </w:t>
      </w:r>
      <w:r>
        <w:rPr>
          <w:rFonts w:hint="eastAsia"/>
          <w:sz w:val="15"/>
          <w:szCs w:val="15"/>
          <w:lang w:val="en-US" w:eastAsia="zh-CN"/>
        </w:rPr>
        <w:t>冀A42355D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