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李军廷</w:t>
      </w:r>
      <w:r>
        <w:rPr>
          <w:rFonts w:hint="eastAsia"/>
          <w:sz w:val="15"/>
          <w:szCs w:val="15"/>
          <w:highlight w:val="none"/>
        </w:rPr>
        <w:t>，</w:t>
      </w:r>
      <w:r>
        <w:rPr>
          <w:rFonts w:hint="eastAsia"/>
          <w:sz w:val="15"/>
          <w:szCs w:val="15"/>
          <w:highlight w:val="none"/>
          <w:lang w:val="en-US" w:eastAsia="zh-CN"/>
        </w:rPr>
        <w:t>130121198702072459</w:t>
      </w:r>
      <w:r>
        <w:rPr>
          <w:rFonts w:hint="eastAsia"/>
          <w:sz w:val="15"/>
          <w:szCs w:val="15"/>
        </w:rPr>
        <w:t xml:space="preserve">  </w:t>
      </w:r>
      <w:r>
        <w:rPr>
          <w:rFonts w:hint="eastAsia"/>
          <w:sz w:val="15"/>
          <w:szCs w:val="15"/>
          <w:lang w:val="en-US" w:eastAsia="zh-CN"/>
        </w:rPr>
        <w:t>冀A34711D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