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陈建伟</w:t>
      </w:r>
      <w:r>
        <w:rPr>
          <w:rFonts w:hint="eastAsia"/>
          <w:sz w:val="15"/>
          <w:szCs w:val="15"/>
          <w:highlight w:val="none"/>
        </w:rPr>
        <w:t>，</w:t>
      </w:r>
      <w:r>
        <w:rPr>
          <w:rFonts w:hint="eastAsia"/>
          <w:sz w:val="15"/>
          <w:szCs w:val="15"/>
          <w:highlight w:val="none"/>
          <w:lang w:val="en-US" w:eastAsia="zh-CN"/>
        </w:rPr>
        <w:t>130121198109160255</w:t>
      </w:r>
      <w:r>
        <w:rPr>
          <w:rFonts w:hint="eastAsia"/>
          <w:sz w:val="15"/>
          <w:szCs w:val="15"/>
        </w:rPr>
        <w:t xml:space="preserve">  </w:t>
      </w:r>
      <w:r>
        <w:rPr>
          <w:rFonts w:hint="eastAsia"/>
          <w:sz w:val="15"/>
          <w:szCs w:val="15"/>
          <w:lang w:val="en-US" w:eastAsia="zh-CN"/>
        </w:rPr>
        <w:t>冀A09441D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