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樊向春</w:t>
      </w:r>
      <w:r>
        <w:rPr>
          <w:rFonts w:hint="eastAsia"/>
          <w:sz w:val="15"/>
          <w:szCs w:val="15"/>
          <w:highlight w:val="none"/>
        </w:rPr>
        <w:t>，</w:t>
      </w:r>
      <w:r>
        <w:rPr>
          <w:rFonts w:hint="eastAsia"/>
          <w:sz w:val="15"/>
          <w:szCs w:val="15"/>
          <w:highlight w:val="none"/>
          <w:lang w:val="en-US" w:eastAsia="zh-CN"/>
        </w:rPr>
        <w:t>130121198006081079</w:t>
      </w:r>
      <w:r>
        <w:rPr>
          <w:rFonts w:hint="eastAsia"/>
          <w:sz w:val="15"/>
          <w:szCs w:val="15"/>
        </w:rPr>
        <w:t xml:space="preserve">  </w:t>
      </w:r>
      <w:r>
        <w:rPr>
          <w:rFonts w:hint="eastAsia"/>
          <w:sz w:val="15"/>
          <w:szCs w:val="15"/>
          <w:lang w:val="en-US" w:eastAsia="zh-CN"/>
        </w:rPr>
        <w:t>冀A44135D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