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郝文忠</w:t>
      </w:r>
      <w:r>
        <w:rPr>
          <w:rFonts w:hint="eastAsia"/>
          <w:sz w:val="15"/>
          <w:szCs w:val="15"/>
          <w:highlight w:val="none"/>
        </w:rPr>
        <w:t>，</w:t>
      </w:r>
      <w:r>
        <w:rPr>
          <w:rFonts w:hint="eastAsia"/>
          <w:sz w:val="15"/>
          <w:szCs w:val="15"/>
          <w:highlight w:val="none"/>
          <w:lang w:val="en-US" w:eastAsia="zh-CN"/>
        </w:rPr>
        <w:t>130121197903091010</w:t>
      </w:r>
      <w:r>
        <w:rPr>
          <w:rFonts w:hint="eastAsia"/>
          <w:sz w:val="15"/>
          <w:szCs w:val="15"/>
        </w:rPr>
        <w:t xml:space="preserve">  </w:t>
      </w:r>
      <w:r>
        <w:rPr>
          <w:rFonts w:hint="eastAsia"/>
          <w:sz w:val="15"/>
          <w:szCs w:val="15"/>
          <w:lang w:val="en-US" w:eastAsia="zh-CN"/>
        </w:rPr>
        <w:t>冀A2923E</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