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宋学永</w:t>
      </w:r>
      <w:r>
        <w:rPr>
          <w:rFonts w:hint="eastAsia"/>
          <w:sz w:val="15"/>
          <w:szCs w:val="15"/>
          <w:highlight w:val="none"/>
        </w:rPr>
        <w:t>，</w:t>
      </w:r>
      <w:r>
        <w:rPr>
          <w:rFonts w:hint="eastAsia"/>
          <w:sz w:val="15"/>
          <w:szCs w:val="15"/>
          <w:highlight w:val="none"/>
          <w:lang w:val="en-US" w:eastAsia="zh-CN"/>
        </w:rPr>
        <w:t>120225198111214071</w:t>
      </w:r>
      <w:r>
        <w:rPr>
          <w:rFonts w:hint="eastAsia"/>
          <w:sz w:val="15"/>
          <w:szCs w:val="15"/>
        </w:rPr>
        <w:t xml:space="preserve">  </w:t>
      </w:r>
      <w:r>
        <w:rPr>
          <w:rFonts w:hint="eastAsia"/>
          <w:sz w:val="15"/>
          <w:szCs w:val="15"/>
          <w:lang w:val="en-US" w:eastAsia="zh-CN"/>
        </w:rPr>
        <w:t>冀J27111D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