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陈伟荣</w:t>
      </w:r>
      <w:r>
        <w:rPr>
          <w:rFonts w:hint="eastAsia"/>
          <w:sz w:val="15"/>
          <w:szCs w:val="15"/>
          <w:highlight w:val="none"/>
        </w:rPr>
        <w:t>，</w:t>
      </w:r>
      <w:r>
        <w:rPr>
          <w:rFonts w:hint="eastAsia"/>
          <w:sz w:val="15"/>
          <w:szCs w:val="15"/>
          <w:highlight w:val="none"/>
          <w:lang w:val="en-US" w:eastAsia="zh-CN"/>
        </w:rPr>
        <w:t>441822197511150411</w:t>
      </w:r>
      <w:r>
        <w:rPr>
          <w:rFonts w:hint="eastAsia"/>
          <w:sz w:val="15"/>
          <w:szCs w:val="15"/>
        </w:rPr>
        <w:t xml:space="preserve">  </w:t>
      </w:r>
      <w:r>
        <w:rPr>
          <w:rFonts w:hint="eastAsia"/>
          <w:sz w:val="15"/>
          <w:szCs w:val="15"/>
          <w:lang w:val="en-US" w:eastAsia="zh-CN"/>
        </w:rPr>
        <w:t>鲁H805Z8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