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黄育明</w:t>
      </w:r>
      <w:r>
        <w:rPr>
          <w:rFonts w:hint="eastAsia"/>
          <w:sz w:val="15"/>
          <w:szCs w:val="15"/>
          <w:highlight w:val="none"/>
        </w:rPr>
        <w:t>，</w:t>
      </w:r>
      <w:r>
        <w:rPr>
          <w:rFonts w:hint="eastAsia"/>
          <w:sz w:val="15"/>
          <w:szCs w:val="15"/>
          <w:highlight w:val="none"/>
          <w:lang w:val="en-US" w:eastAsia="zh-CN"/>
        </w:rPr>
        <w:t>440221198407284713</w:t>
      </w:r>
      <w:r>
        <w:rPr>
          <w:rFonts w:hint="eastAsia"/>
          <w:sz w:val="15"/>
          <w:szCs w:val="15"/>
        </w:rPr>
        <w:t xml:space="preserve">  </w:t>
      </w:r>
      <w:r>
        <w:rPr>
          <w:rFonts w:hint="eastAsia"/>
          <w:sz w:val="15"/>
          <w:szCs w:val="15"/>
          <w:lang w:val="en-US" w:eastAsia="zh-CN"/>
        </w:rPr>
        <w:t>粤F31129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