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何应周</w:t>
      </w:r>
      <w:r>
        <w:rPr>
          <w:rFonts w:hint="eastAsia"/>
          <w:sz w:val="15"/>
          <w:szCs w:val="15"/>
          <w:highlight w:val="none"/>
        </w:rPr>
        <w:t>，</w:t>
      </w:r>
      <w:r>
        <w:rPr>
          <w:rFonts w:hint="eastAsia"/>
          <w:sz w:val="15"/>
          <w:szCs w:val="15"/>
          <w:highlight w:val="none"/>
          <w:lang w:val="en-US" w:eastAsia="zh-CN"/>
        </w:rPr>
        <w:t>440221197811231918</w:t>
      </w:r>
      <w:r>
        <w:rPr>
          <w:rFonts w:hint="eastAsia"/>
          <w:sz w:val="15"/>
          <w:szCs w:val="15"/>
        </w:rPr>
        <w:t xml:space="preserve">  </w:t>
      </w:r>
      <w:r>
        <w:rPr>
          <w:rFonts w:hint="eastAsia"/>
          <w:sz w:val="15"/>
          <w:szCs w:val="15"/>
          <w:lang w:val="en-US" w:eastAsia="zh-CN"/>
        </w:rPr>
        <w:t>粤F98682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