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朱伟风</w:t>
      </w:r>
      <w:r>
        <w:rPr>
          <w:rFonts w:hint="eastAsia"/>
          <w:sz w:val="15"/>
          <w:szCs w:val="15"/>
          <w:highlight w:val="none"/>
        </w:rPr>
        <w:t>，</w:t>
      </w:r>
      <w:r>
        <w:rPr>
          <w:rFonts w:hint="eastAsia"/>
          <w:sz w:val="15"/>
          <w:szCs w:val="15"/>
          <w:highlight w:val="none"/>
          <w:lang w:val="en-US" w:eastAsia="zh-CN"/>
        </w:rPr>
        <w:t>440221197608164510</w:t>
      </w:r>
      <w:r>
        <w:rPr>
          <w:rFonts w:hint="eastAsia"/>
          <w:sz w:val="15"/>
          <w:szCs w:val="15"/>
        </w:rPr>
        <w:t xml:space="preserve">  </w:t>
      </w:r>
      <w:r>
        <w:rPr>
          <w:rFonts w:hint="eastAsia"/>
          <w:sz w:val="15"/>
          <w:szCs w:val="15"/>
          <w:lang w:val="en-US" w:eastAsia="zh-CN"/>
        </w:rPr>
        <w:t>粤F98528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