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黄潺潺</w:t>
      </w:r>
      <w:r>
        <w:rPr>
          <w:rFonts w:hint="eastAsia"/>
          <w:sz w:val="15"/>
          <w:szCs w:val="15"/>
          <w:highlight w:val="none"/>
        </w:rPr>
        <w:t>，</w:t>
      </w:r>
      <w:r>
        <w:rPr>
          <w:rFonts w:hint="eastAsia"/>
          <w:sz w:val="15"/>
          <w:szCs w:val="15"/>
          <w:highlight w:val="none"/>
          <w:lang w:val="en-US" w:eastAsia="zh-CN"/>
        </w:rPr>
        <w:t>430626198404111018</w:t>
      </w:r>
      <w:r>
        <w:rPr>
          <w:rFonts w:hint="eastAsia"/>
          <w:sz w:val="15"/>
          <w:szCs w:val="15"/>
        </w:rPr>
        <w:t xml:space="preserve">  </w:t>
      </w:r>
      <w:r>
        <w:rPr>
          <w:rFonts w:hint="eastAsia"/>
          <w:sz w:val="15"/>
          <w:szCs w:val="15"/>
          <w:lang w:val="en-US" w:eastAsia="zh-CN"/>
        </w:rPr>
        <w:t>粤BEY304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