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朱光照</w:t>
      </w:r>
      <w:r>
        <w:rPr>
          <w:rFonts w:hint="eastAsia"/>
          <w:sz w:val="15"/>
          <w:szCs w:val="15"/>
          <w:highlight w:val="none"/>
        </w:rPr>
        <w:t>，</w:t>
      </w:r>
      <w:r>
        <w:rPr>
          <w:rFonts w:hint="eastAsia"/>
          <w:sz w:val="15"/>
          <w:szCs w:val="15"/>
          <w:highlight w:val="none"/>
          <w:lang w:val="en-US" w:eastAsia="zh-CN"/>
        </w:rPr>
        <w:t>412724198807068318</w:t>
      </w:r>
      <w:r>
        <w:rPr>
          <w:rFonts w:hint="eastAsia"/>
          <w:sz w:val="15"/>
          <w:szCs w:val="15"/>
        </w:rPr>
        <w:t xml:space="preserve">  </w:t>
      </w:r>
      <w:r>
        <w:rPr>
          <w:rFonts w:hint="eastAsia"/>
          <w:sz w:val="15"/>
          <w:szCs w:val="15"/>
          <w:lang w:val="en-US" w:eastAsia="zh-CN"/>
        </w:rPr>
        <w:t>沪A67965D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