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李忠俊</w:t>
      </w:r>
      <w:r>
        <w:rPr>
          <w:rFonts w:hint="eastAsia"/>
          <w:sz w:val="15"/>
          <w:szCs w:val="15"/>
          <w:highlight w:val="none"/>
        </w:rPr>
        <w:t>，</w:t>
      </w:r>
      <w:r>
        <w:rPr>
          <w:rFonts w:hint="eastAsia"/>
          <w:sz w:val="15"/>
          <w:szCs w:val="15"/>
          <w:highlight w:val="none"/>
          <w:lang w:val="en-US" w:eastAsia="zh-CN"/>
        </w:rPr>
        <w:t>411503198512011011</w:t>
      </w:r>
      <w:r>
        <w:rPr>
          <w:rFonts w:hint="eastAsia"/>
          <w:sz w:val="15"/>
          <w:szCs w:val="15"/>
        </w:rPr>
        <w:t xml:space="preserve">  </w:t>
      </w:r>
      <w:r>
        <w:rPr>
          <w:rFonts w:hint="eastAsia"/>
          <w:sz w:val="15"/>
          <w:szCs w:val="15"/>
          <w:lang w:val="en-US" w:eastAsia="zh-CN"/>
        </w:rPr>
        <w:t>粤F88687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