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孙美艳</w:t>
      </w:r>
      <w:r>
        <w:rPr>
          <w:rFonts w:hint="eastAsia"/>
          <w:sz w:val="15"/>
          <w:szCs w:val="15"/>
          <w:highlight w:val="none"/>
        </w:rPr>
        <w:t>，</w:t>
      </w:r>
      <w:r>
        <w:rPr>
          <w:rFonts w:hint="eastAsia"/>
          <w:sz w:val="15"/>
          <w:szCs w:val="15"/>
          <w:highlight w:val="none"/>
          <w:lang w:val="en-US" w:eastAsia="zh-CN"/>
        </w:rPr>
        <w:t>372328197403130628</w:t>
      </w:r>
      <w:r>
        <w:rPr>
          <w:rFonts w:hint="eastAsia"/>
          <w:sz w:val="15"/>
          <w:szCs w:val="15"/>
        </w:rPr>
        <w:t xml:space="preserve">  </w:t>
      </w:r>
      <w:r>
        <w:rPr>
          <w:rFonts w:hint="eastAsia"/>
          <w:sz w:val="15"/>
          <w:szCs w:val="15"/>
          <w:lang w:val="en-US" w:eastAsia="zh-CN"/>
        </w:rPr>
        <w:t>冀A892CQ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