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张振国</w:t>
      </w:r>
      <w:r>
        <w:rPr>
          <w:rFonts w:hint="eastAsia"/>
          <w:sz w:val="15"/>
          <w:szCs w:val="15"/>
          <w:highlight w:val="none"/>
        </w:rPr>
        <w:t>，</w:t>
      </w:r>
      <w:r>
        <w:rPr>
          <w:rFonts w:hint="eastAsia"/>
          <w:sz w:val="15"/>
          <w:szCs w:val="15"/>
          <w:highlight w:val="none"/>
          <w:lang w:val="en-US" w:eastAsia="zh-CN"/>
        </w:rPr>
        <w:t>370832197901120932</w:t>
      </w:r>
      <w:r>
        <w:rPr>
          <w:rFonts w:hint="eastAsia"/>
          <w:sz w:val="15"/>
          <w:szCs w:val="15"/>
        </w:rPr>
        <w:t xml:space="preserve">  </w:t>
      </w:r>
      <w:r>
        <w:rPr>
          <w:rFonts w:hint="eastAsia"/>
          <w:sz w:val="15"/>
          <w:szCs w:val="15"/>
          <w:lang w:val="en-US" w:eastAsia="zh-CN"/>
        </w:rPr>
        <w:t>冀J3D077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