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成峰</w:t>
      </w:r>
      <w:r>
        <w:rPr>
          <w:rFonts w:hint="eastAsia"/>
          <w:sz w:val="15"/>
          <w:szCs w:val="15"/>
          <w:highlight w:val="none"/>
        </w:rPr>
        <w:t>，</w:t>
      </w:r>
      <w:r>
        <w:rPr>
          <w:rFonts w:hint="eastAsia"/>
          <w:sz w:val="15"/>
          <w:szCs w:val="15"/>
          <w:highlight w:val="none"/>
          <w:lang w:val="en-US" w:eastAsia="zh-CN"/>
        </w:rPr>
        <w:t>370830197612116117</w:t>
      </w:r>
      <w:r>
        <w:rPr>
          <w:rFonts w:hint="eastAsia"/>
          <w:sz w:val="15"/>
          <w:szCs w:val="15"/>
        </w:rPr>
        <w:t xml:space="preserve">  </w:t>
      </w:r>
      <w:r>
        <w:rPr>
          <w:rFonts w:hint="eastAsia"/>
          <w:sz w:val="15"/>
          <w:szCs w:val="15"/>
          <w:lang w:val="en-US" w:eastAsia="zh-CN"/>
        </w:rPr>
        <w:t>晋C843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