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王福建</w:t>
      </w:r>
      <w:r>
        <w:rPr>
          <w:rFonts w:hint="eastAsia"/>
          <w:sz w:val="15"/>
          <w:szCs w:val="15"/>
          <w:highlight w:val="none"/>
        </w:rPr>
        <w:t>，</w:t>
      </w:r>
      <w:r>
        <w:rPr>
          <w:rFonts w:hint="eastAsia"/>
          <w:sz w:val="15"/>
          <w:szCs w:val="15"/>
          <w:highlight w:val="none"/>
          <w:lang w:val="en-US" w:eastAsia="zh-CN"/>
        </w:rPr>
        <w:t>370828198009073215</w:t>
      </w:r>
      <w:r>
        <w:rPr>
          <w:rFonts w:hint="eastAsia"/>
          <w:sz w:val="15"/>
          <w:szCs w:val="15"/>
        </w:rPr>
        <w:t xml:space="preserve">  </w:t>
      </w:r>
      <w:r>
        <w:rPr>
          <w:rFonts w:hint="eastAsia"/>
          <w:sz w:val="15"/>
          <w:szCs w:val="15"/>
          <w:lang w:val="en-US" w:eastAsia="zh-CN"/>
        </w:rPr>
        <w:t>冀A98392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