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李龙</w:t>
      </w:r>
      <w:r>
        <w:rPr>
          <w:rFonts w:hint="eastAsia"/>
          <w:sz w:val="15"/>
          <w:szCs w:val="15"/>
          <w:highlight w:val="none"/>
        </w:rPr>
        <w:t>，</w:t>
      </w:r>
      <w:r>
        <w:rPr>
          <w:rFonts w:hint="eastAsia"/>
          <w:sz w:val="15"/>
          <w:szCs w:val="15"/>
          <w:highlight w:val="none"/>
          <w:lang w:val="en-US" w:eastAsia="zh-CN"/>
        </w:rPr>
        <w:t>37012619850102211X</w:t>
      </w:r>
      <w:r>
        <w:rPr>
          <w:rFonts w:hint="eastAsia"/>
          <w:sz w:val="15"/>
          <w:szCs w:val="15"/>
        </w:rPr>
        <w:t xml:space="preserve">  </w:t>
      </w:r>
      <w:r>
        <w:rPr>
          <w:rFonts w:hint="eastAsia"/>
          <w:sz w:val="15"/>
          <w:szCs w:val="15"/>
          <w:lang w:val="en-US" w:eastAsia="zh-CN"/>
        </w:rPr>
        <w:t>冀B21821D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