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郑美玲</w:t>
      </w:r>
      <w:r>
        <w:rPr>
          <w:rFonts w:hint="eastAsia"/>
          <w:sz w:val="15"/>
          <w:szCs w:val="15"/>
          <w:highlight w:val="none"/>
        </w:rPr>
        <w:t>，</w:t>
      </w:r>
      <w:r>
        <w:rPr>
          <w:rFonts w:hint="eastAsia"/>
          <w:sz w:val="15"/>
          <w:szCs w:val="15"/>
          <w:highlight w:val="none"/>
          <w:lang w:val="en-US" w:eastAsia="zh-CN"/>
        </w:rPr>
        <w:t>220124197312016028</w:t>
      </w:r>
      <w:r>
        <w:rPr>
          <w:rFonts w:hint="eastAsia"/>
          <w:sz w:val="15"/>
          <w:szCs w:val="15"/>
        </w:rPr>
        <w:t xml:space="preserve">  </w:t>
      </w:r>
      <w:r>
        <w:rPr>
          <w:rFonts w:hint="eastAsia"/>
          <w:sz w:val="15"/>
          <w:szCs w:val="15"/>
          <w:lang w:val="en-US" w:eastAsia="zh-CN"/>
        </w:rPr>
        <w:t>冀A8607Z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