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王秀丽</w:t>
      </w:r>
      <w:r>
        <w:rPr>
          <w:rFonts w:hint="eastAsia"/>
          <w:sz w:val="15"/>
          <w:szCs w:val="15"/>
          <w:highlight w:val="none"/>
        </w:rPr>
        <w:t>，</w:t>
      </w:r>
      <w:r>
        <w:rPr>
          <w:rFonts w:hint="eastAsia"/>
          <w:sz w:val="15"/>
          <w:szCs w:val="15"/>
          <w:highlight w:val="none"/>
          <w:lang w:val="en-US" w:eastAsia="zh-CN"/>
        </w:rPr>
        <w:t>150428198803214342</w:t>
      </w:r>
      <w:r>
        <w:rPr>
          <w:rFonts w:hint="eastAsia"/>
          <w:sz w:val="15"/>
          <w:szCs w:val="15"/>
        </w:rPr>
        <w:t xml:space="preserve">  </w:t>
      </w:r>
      <w:r>
        <w:rPr>
          <w:rFonts w:hint="eastAsia"/>
          <w:sz w:val="15"/>
          <w:szCs w:val="15"/>
          <w:lang w:val="en-US" w:eastAsia="zh-CN"/>
        </w:rPr>
        <w:t>冀B3909Z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