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孙彦文</w:t>
      </w:r>
      <w:r>
        <w:rPr>
          <w:rFonts w:hint="eastAsia"/>
          <w:sz w:val="15"/>
          <w:szCs w:val="15"/>
          <w:highlight w:val="none"/>
        </w:rPr>
        <w:t>，</w:t>
      </w:r>
      <w:r>
        <w:rPr>
          <w:rFonts w:hint="eastAsia"/>
          <w:sz w:val="15"/>
          <w:szCs w:val="15"/>
          <w:highlight w:val="none"/>
          <w:lang w:val="en-US" w:eastAsia="zh-CN"/>
        </w:rPr>
        <w:t>14233319740711181X</w:t>
      </w:r>
      <w:r>
        <w:rPr>
          <w:rFonts w:hint="eastAsia"/>
          <w:sz w:val="15"/>
          <w:szCs w:val="15"/>
        </w:rPr>
        <w:t xml:space="preserve">  </w:t>
      </w:r>
      <w:r>
        <w:rPr>
          <w:rFonts w:hint="eastAsia"/>
          <w:sz w:val="15"/>
          <w:szCs w:val="15"/>
          <w:lang w:val="en-US" w:eastAsia="zh-CN"/>
        </w:rPr>
        <w:t>冀A108ZY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