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王振维</w:t>
      </w:r>
      <w:r>
        <w:rPr>
          <w:rFonts w:hint="eastAsia"/>
          <w:sz w:val="15"/>
          <w:szCs w:val="15"/>
          <w:highlight w:val="none"/>
        </w:rPr>
        <w:t>，</w:t>
      </w:r>
      <w:r>
        <w:rPr>
          <w:rFonts w:hint="eastAsia"/>
          <w:sz w:val="15"/>
          <w:szCs w:val="15"/>
          <w:highlight w:val="none"/>
          <w:lang w:val="en-US" w:eastAsia="zh-CN"/>
        </w:rPr>
        <w:t>140322199205284518</w:t>
      </w:r>
      <w:r>
        <w:rPr>
          <w:rFonts w:hint="eastAsia"/>
          <w:sz w:val="15"/>
          <w:szCs w:val="15"/>
        </w:rPr>
        <w:t xml:space="preserve">  </w:t>
      </w:r>
      <w:r>
        <w:rPr>
          <w:rFonts w:hint="eastAsia"/>
          <w:sz w:val="15"/>
          <w:szCs w:val="15"/>
          <w:lang w:val="en-US" w:eastAsia="zh-CN"/>
        </w:rPr>
        <w:t>晋C89438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