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安宝明</w:t>
      </w:r>
      <w:r>
        <w:rPr>
          <w:rFonts w:hint="eastAsia"/>
          <w:sz w:val="15"/>
          <w:szCs w:val="15"/>
          <w:highlight w:val="none"/>
        </w:rPr>
        <w:t>，</w:t>
      </w:r>
      <w:r>
        <w:rPr>
          <w:rFonts w:hint="eastAsia"/>
          <w:sz w:val="15"/>
          <w:szCs w:val="15"/>
          <w:highlight w:val="none"/>
          <w:lang w:val="en-US" w:eastAsia="zh-CN"/>
        </w:rPr>
        <w:t>14032219890815271X</w:t>
      </w:r>
      <w:r>
        <w:rPr>
          <w:rFonts w:hint="eastAsia"/>
          <w:sz w:val="15"/>
          <w:szCs w:val="15"/>
        </w:rPr>
        <w:t xml:space="preserve">  </w:t>
      </w:r>
      <w:r>
        <w:rPr>
          <w:rFonts w:hint="eastAsia"/>
          <w:sz w:val="15"/>
          <w:szCs w:val="15"/>
          <w:lang w:val="en-US" w:eastAsia="zh-CN"/>
        </w:rPr>
        <w:t>晋C09903D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