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王建桥</w:t>
      </w:r>
      <w:r>
        <w:rPr>
          <w:rFonts w:hint="eastAsia"/>
          <w:sz w:val="15"/>
          <w:szCs w:val="15"/>
          <w:highlight w:val="none"/>
        </w:rPr>
        <w:t>，</w:t>
      </w:r>
      <w:r>
        <w:rPr>
          <w:rFonts w:hint="eastAsia"/>
          <w:sz w:val="15"/>
          <w:szCs w:val="15"/>
          <w:highlight w:val="none"/>
          <w:lang w:val="en-US" w:eastAsia="zh-CN"/>
        </w:rPr>
        <w:t>140322197811192710</w:t>
      </w:r>
      <w:r>
        <w:rPr>
          <w:rFonts w:hint="eastAsia"/>
          <w:sz w:val="15"/>
          <w:szCs w:val="15"/>
        </w:rPr>
        <w:t xml:space="preserve">  </w:t>
      </w:r>
      <w:r>
        <w:rPr>
          <w:rFonts w:hint="eastAsia"/>
          <w:sz w:val="15"/>
          <w:szCs w:val="15"/>
          <w:lang w:val="en-US" w:eastAsia="zh-CN"/>
        </w:rPr>
        <w:t>沪A62523D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