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张全忠</w:t>
      </w:r>
      <w:r>
        <w:rPr>
          <w:rFonts w:hint="eastAsia"/>
          <w:sz w:val="15"/>
          <w:szCs w:val="15"/>
          <w:highlight w:val="none"/>
        </w:rPr>
        <w:t>，</w:t>
      </w:r>
      <w:r>
        <w:rPr>
          <w:rFonts w:hint="eastAsia"/>
          <w:sz w:val="15"/>
          <w:szCs w:val="15"/>
          <w:highlight w:val="none"/>
          <w:lang w:val="en-US" w:eastAsia="zh-CN"/>
        </w:rPr>
        <w:t>140322197209282115</w:t>
      </w:r>
      <w:r>
        <w:rPr>
          <w:rFonts w:hint="eastAsia"/>
          <w:sz w:val="15"/>
          <w:szCs w:val="15"/>
        </w:rPr>
        <w:t xml:space="preserve">  </w:t>
      </w:r>
      <w:r>
        <w:rPr>
          <w:rFonts w:hint="eastAsia"/>
          <w:sz w:val="15"/>
          <w:szCs w:val="15"/>
          <w:lang w:val="en-US" w:eastAsia="zh-CN"/>
        </w:rPr>
        <w:t>晋C04811D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