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李振扬</w:t>
      </w:r>
      <w:r>
        <w:rPr>
          <w:rFonts w:hint="eastAsia"/>
          <w:sz w:val="15"/>
          <w:szCs w:val="15"/>
          <w:highlight w:val="none"/>
        </w:rPr>
        <w:t>，</w:t>
      </w:r>
      <w:r>
        <w:rPr>
          <w:rFonts w:hint="eastAsia"/>
          <w:sz w:val="15"/>
          <w:szCs w:val="15"/>
          <w:highlight w:val="none"/>
          <w:lang w:val="en-US" w:eastAsia="zh-CN"/>
        </w:rPr>
        <w:t>140121199208130656</w:t>
      </w:r>
      <w:r>
        <w:rPr>
          <w:rFonts w:hint="eastAsia"/>
          <w:sz w:val="15"/>
          <w:szCs w:val="15"/>
        </w:rPr>
        <w:t xml:space="preserve">  </w:t>
      </w:r>
      <w:r>
        <w:rPr>
          <w:rFonts w:hint="eastAsia"/>
          <w:sz w:val="15"/>
          <w:szCs w:val="15"/>
          <w:lang w:val="en-US" w:eastAsia="zh-CN"/>
        </w:rPr>
        <w:t>沪A03623A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