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丁春雷</w:t>
      </w:r>
      <w:r>
        <w:rPr>
          <w:rFonts w:hint="eastAsia"/>
          <w:sz w:val="15"/>
          <w:szCs w:val="15"/>
          <w:highlight w:val="none"/>
        </w:rPr>
        <w:t>，</w:t>
      </w:r>
      <w:r>
        <w:rPr>
          <w:rFonts w:hint="eastAsia"/>
          <w:sz w:val="15"/>
          <w:szCs w:val="15"/>
          <w:highlight w:val="none"/>
          <w:lang w:val="en-US" w:eastAsia="zh-CN"/>
        </w:rPr>
        <w:t>13300119800120043X</w:t>
      </w:r>
      <w:r>
        <w:rPr>
          <w:rFonts w:hint="eastAsia"/>
          <w:sz w:val="15"/>
          <w:szCs w:val="15"/>
        </w:rPr>
        <w:t xml:space="preserve">  </w:t>
      </w:r>
      <w:r>
        <w:rPr>
          <w:rFonts w:hint="eastAsia"/>
          <w:sz w:val="15"/>
          <w:szCs w:val="15"/>
          <w:lang w:val="en-US" w:eastAsia="zh-CN"/>
        </w:rPr>
        <w:t>冀AXL391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