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赵书永</w:t>
      </w:r>
      <w:r>
        <w:rPr>
          <w:rFonts w:hint="eastAsia"/>
          <w:sz w:val="15"/>
          <w:szCs w:val="15"/>
          <w:highlight w:val="none"/>
        </w:rPr>
        <w:t>，</w:t>
      </w:r>
      <w:r>
        <w:rPr>
          <w:rFonts w:hint="eastAsia"/>
          <w:sz w:val="15"/>
          <w:szCs w:val="15"/>
          <w:highlight w:val="none"/>
          <w:lang w:val="en-US" w:eastAsia="zh-CN"/>
        </w:rPr>
        <w:t>132337197509293750</w:t>
      </w:r>
      <w:r>
        <w:rPr>
          <w:rFonts w:hint="eastAsia"/>
          <w:sz w:val="15"/>
          <w:szCs w:val="15"/>
        </w:rPr>
        <w:t xml:space="preserve">  </w:t>
      </w:r>
      <w:r>
        <w:rPr>
          <w:rFonts w:hint="eastAsia"/>
          <w:sz w:val="15"/>
          <w:szCs w:val="15"/>
          <w:lang w:val="en-US" w:eastAsia="zh-CN"/>
        </w:rPr>
        <w:t>冀A709ZK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