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郭志强</w:t>
      </w:r>
      <w:r>
        <w:rPr>
          <w:rFonts w:hint="eastAsia"/>
          <w:sz w:val="15"/>
          <w:szCs w:val="15"/>
          <w:highlight w:val="none"/>
        </w:rPr>
        <w:t>，</w:t>
      </w:r>
      <w:r>
        <w:rPr>
          <w:rFonts w:hint="eastAsia"/>
          <w:sz w:val="15"/>
          <w:szCs w:val="15"/>
          <w:highlight w:val="none"/>
          <w:lang w:val="en-US" w:eastAsia="zh-CN"/>
        </w:rPr>
        <w:t>132336198112250734</w:t>
      </w:r>
      <w:r>
        <w:rPr>
          <w:rFonts w:hint="eastAsia"/>
          <w:sz w:val="15"/>
          <w:szCs w:val="15"/>
        </w:rPr>
        <w:t xml:space="preserve">  </w:t>
      </w:r>
      <w:r>
        <w:rPr>
          <w:rFonts w:hint="eastAsia"/>
          <w:sz w:val="15"/>
          <w:szCs w:val="15"/>
          <w:lang w:val="en-US" w:eastAsia="zh-CN"/>
        </w:rPr>
        <w:t>冀AY1477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