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张风刚</w:t>
      </w:r>
      <w:r>
        <w:rPr>
          <w:rFonts w:hint="eastAsia"/>
          <w:sz w:val="15"/>
          <w:szCs w:val="15"/>
          <w:highlight w:val="none"/>
        </w:rPr>
        <w:t>，</w:t>
      </w:r>
      <w:r>
        <w:rPr>
          <w:rFonts w:hint="eastAsia"/>
          <w:sz w:val="15"/>
          <w:szCs w:val="15"/>
          <w:highlight w:val="none"/>
          <w:lang w:val="en-US" w:eastAsia="zh-CN"/>
        </w:rPr>
        <w:t>132336198102140830</w:t>
      </w:r>
      <w:r>
        <w:rPr>
          <w:rFonts w:hint="eastAsia"/>
          <w:sz w:val="15"/>
          <w:szCs w:val="15"/>
        </w:rPr>
        <w:t xml:space="preserve">  </w:t>
      </w:r>
      <w:r>
        <w:rPr>
          <w:rFonts w:hint="eastAsia"/>
          <w:sz w:val="15"/>
          <w:szCs w:val="15"/>
          <w:lang w:val="en-US" w:eastAsia="zh-CN"/>
        </w:rPr>
        <w:t>冀A41687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