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苗增立</w:t>
      </w:r>
      <w:r>
        <w:rPr>
          <w:rFonts w:hint="eastAsia"/>
          <w:sz w:val="15"/>
          <w:szCs w:val="15"/>
          <w:highlight w:val="none"/>
        </w:rPr>
        <w:t>，</w:t>
      </w:r>
      <w:r>
        <w:rPr>
          <w:rFonts w:hint="eastAsia"/>
          <w:sz w:val="15"/>
          <w:szCs w:val="15"/>
          <w:highlight w:val="none"/>
          <w:lang w:val="en-US" w:eastAsia="zh-CN"/>
        </w:rPr>
        <w:t>132336197901290275</w:t>
      </w:r>
      <w:r>
        <w:rPr>
          <w:rFonts w:hint="eastAsia"/>
          <w:sz w:val="15"/>
          <w:szCs w:val="15"/>
        </w:rPr>
        <w:t xml:space="preserve">  </w:t>
      </w:r>
      <w:r>
        <w:rPr>
          <w:rFonts w:hint="eastAsia"/>
          <w:sz w:val="15"/>
          <w:szCs w:val="15"/>
          <w:lang w:val="en-US" w:eastAsia="zh-CN"/>
        </w:rPr>
        <w:t>冀AX2900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