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祁花龙</w:t>
      </w:r>
      <w:r>
        <w:rPr>
          <w:rFonts w:hint="eastAsia"/>
          <w:sz w:val="15"/>
          <w:szCs w:val="15"/>
          <w:highlight w:val="none"/>
        </w:rPr>
        <w:t>，</w:t>
      </w:r>
      <w:r>
        <w:rPr>
          <w:rFonts w:hint="eastAsia"/>
          <w:sz w:val="15"/>
          <w:szCs w:val="15"/>
          <w:highlight w:val="none"/>
          <w:lang w:val="en-US" w:eastAsia="zh-CN"/>
        </w:rPr>
        <w:t>132336197809150210</w:t>
      </w:r>
      <w:r>
        <w:rPr>
          <w:rFonts w:hint="eastAsia"/>
          <w:sz w:val="15"/>
          <w:szCs w:val="15"/>
        </w:rPr>
        <w:t xml:space="preserve">  </w:t>
      </w:r>
      <w:r>
        <w:rPr>
          <w:rFonts w:hint="eastAsia"/>
          <w:sz w:val="15"/>
          <w:szCs w:val="15"/>
          <w:lang w:val="en-US" w:eastAsia="zh-CN"/>
        </w:rPr>
        <w:t>冀AG2696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