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尚志刚</w:t>
      </w:r>
      <w:r>
        <w:rPr>
          <w:rFonts w:hint="eastAsia"/>
          <w:sz w:val="15"/>
          <w:szCs w:val="15"/>
          <w:highlight w:val="none"/>
        </w:rPr>
        <w:t>，</w:t>
      </w:r>
      <w:r>
        <w:rPr>
          <w:rFonts w:hint="eastAsia"/>
          <w:sz w:val="15"/>
          <w:szCs w:val="15"/>
          <w:highlight w:val="none"/>
          <w:lang w:val="en-US" w:eastAsia="zh-CN"/>
        </w:rPr>
        <w:t>132336197803301110</w:t>
      </w:r>
      <w:r>
        <w:rPr>
          <w:rFonts w:hint="eastAsia"/>
          <w:sz w:val="15"/>
          <w:szCs w:val="15"/>
        </w:rPr>
        <w:t xml:space="preserve">  </w:t>
      </w:r>
      <w:r>
        <w:rPr>
          <w:rFonts w:hint="eastAsia"/>
          <w:sz w:val="15"/>
          <w:szCs w:val="15"/>
          <w:lang w:val="en-US" w:eastAsia="zh-CN"/>
        </w:rPr>
        <w:t>冀AM4013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