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杨志江</w:t>
      </w:r>
      <w:r>
        <w:rPr>
          <w:rFonts w:hint="eastAsia"/>
          <w:sz w:val="15"/>
          <w:szCs w:val="15"/>
          <w:highlight w:val="none"/>
        </w:rPr>
        <w:t>，</w:t>
      </w:r>
      <w:r>
        <w:rPr>
          <w:rFonts w:hint="eastAsia"/>
          <w:sz w:val="15"/>
          <w:szCs w:val="15"/>
          <w:highlight w:val="none"/>
          <w:lang w:val="en-US" w:eastAsia="zh-CN"/>
        </w:rPr>
        <w:t>132336197709222010</w:t>
      </w:r>
      <w:r>
        <w:rPr>
          <w:rFonts w:hint="eastAsia"/>
          <w:sz w:val="15"/>
          <w:szCs w:val="15"/>
        </w:rPr>
        <w:t xml:space="preserve">  </w:t>
      </w:r>
      <w:r>
        <w:rPr>
          <w:rFonts w:hint="eastAsia"/>
          <w:sz w:val="15"/>
          <w:szCs w:val="15"/>
          <w:lang w:val="en-US" w:eastAsia="zh-CN"/>
        </w:rPr>
        <w:t>冀A3933K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