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梁利岗</w:t>
      </w:r>
      <w:r>
        <w:rPr>
          <w:rFonts w:hint="eastAsia"/>
          <w:sz w:val="15"/>
          <w:szCs w:val="15"/>
          <w:highlight w:val="none"/>
        </w:rPr>
        <w:t>，</w:t>
      </w:r>
      <w:r>
        <w:rPr>
          <w:rFonts w:hint="eastAsia"/>
          <w:sz w:val="15"/>
          <w:szCs w:val="15"/>
          <w:highlight w:val="none"/>
          <w:lang w:val="en-US" w:eastAsia="zh-CN"/>
        </w:rPr>
        <w:t>132336197708160217</w:t>
      </w:r>
      <w:r>
        <w:rPr>
          <w:rFonts w:hint="eastAsia"/>
          <w:sz w:val="15"/>
          <w:szCs w:val="15"/>
        </w:rPr>
        <w:t xml:space="preserve">  </w:t>
      </w:r>
      <w:r>
        <w:rPr>
          <w:rFonts w:hint="eastAsia"/>
          <w:sz w:val="15"/>
          <w:szCs w:val="15"/>
          <w:lang w:val="en-US" w:eastAsia="zh-CN"/>
        </w:rPr>
        <w:t>冀A6794H</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