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王永刚</w:t>
      </w:r>
      <w:r>
        <w:rPr>
          <w:rFonts w:hint="eastAsia"/>
          <w:sz w:val="15"/>
          <w:szCs w:val="15"/>
          <w:highlight w:val="none"/>
        </w:rPr>
        <w:t>，</w:t>
      </w:r>
      <w:r>
        <w:rPr>
          <w:rFonts w:hint="eastAsia"/>
          <w:sz w:val="15"/>
          <w:szCs w:val="15"/>
          <w:highlight w:val="none"/>
          <w:lang w:val="en-US" w:eastAsia="zh-CN"/>
        </w:rPr>
        <w:t>132336197310101911</w:t>
      </w:r>
      <w:r>
        <w:rPr>
          <w:rFonts w:hint="eastAsia"/>
          <w:sz w:val="15"/>
          <w:szCs w:val="15"/>
        </w:rPr>
        <w:t xml:space="preserve">  </w:t>
      </w:r>
      <w:r>
        <w:rPr>
          <w:rFonts w:hint="eastAsia"/>
          <w:sz w:val="15"/>
          <w:szCs w:val="15"/>
          <w:lang w:val="en-US" w:eastAsia="zh-CN"/>
        </w:rPr>
        <w:t>冀AV9029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