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赵金亭</w:t>
      </w:r>
      <w:r>
        <w:rPr>
          <w:rFonts w:hint="eastAsia"/>
          <w:sz w:val="15"/>
          <w:szCs w:val="15"/>
          <w:highlight w:val="none"/>
        </w:rPr>
        <w:t>，</w:t>
      </w:r>
      <w:r>
        <w:rPr>
          <w:rFonts w:hint="eastAsia"/>
          <w:sz w:val="15"/>
          <w:szCs w:val="15"/>
          <w:highlight w:val="none"/>
          <w:lang w:val="en-US" w:eastAsia="zh-CN"/>
        </w:rPr>
        <w:t>132336197304181134</w:t>
      </w:r>
      <w:r>
        <w:rPr>
          <w:rFonts w:hint="eastAsia"/>
          <w:sz w:val="15"/>
          <w:szCs w:val="15"/>
        </w:rPr>
        <w:t xml:space="preserve">  </w:t>
      </w:r>
      <w:r>
        <w:rPr>
          <w:rFonts w:hint="eastAsia"/>
          <w:sz w:val="15"/>
          <w:szCs w:val="15"/>
          <w:lang w:val="en-US" w:eastAsia="zh-CN"/>
        </w:rPr>
        <w:t>冀A40232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