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索彦军</w:t>
      </w:r>
      <w:r>
        <w:rPr>
          <w:rFonts w:hint="eastAsia"/>
          <w:sz w:val="15"/>
          <w:szCs w:val="15"/>
          <w:highlight w:val="none"/>
        </w:rPr>
        <w:t>，</w:t>
      </w:r>
      <w:r>
        <w:rPr>
          <w:rFonts w:hint="eastAsia"/>
          <w:sz w:val="15"/>
          <w:szCs w:val="15"/>
          <w:highlight w:val="none"/>
          <w:lang w:val="en-US" w:eastAsia="zh-CN"/>
        </w:rPr>
        <w:t>132336197210150716</w:t>
      </w:r>
      <w:r>
        <w:rPr>
          <w:rFonts w:hint="eastAsia"/>
          <w:sz w:val="15"/>
          <w:szCs w:val="15"/>
        </w:rPr>
        <w:t xml:space="preserve">  </w:t>
      </w:r>
      <w:r>
        <w:rPr>
          <w:rFonts w:hint="eastAsia"/>
          <w:sz w:val="15"/>
          <w:szCs w:val="15"/>
          <w:lang w:val="en-US" w:eastAsia="zh-CN"/>
        </w:rPr>
        <w:t>冀A1247V</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