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薄林五</w:t>
      </w:r>
      <w:r>
        <w:rPr>
          <w:rFonts w:hint="eastAsia"/>
          <w:sz w:val="15"/>
          <w:szCs w:val="15"/>
          <w:highlight w:val="none"/>
        </w:rPr>
        <w:t>，</w:t>
      </w:r>
      <w:r>
        <w:rPr>
          <w:rFonts w:hint="eastAsia"/>
          <w:sz w:val="15"/>
          <w:szCs w:val="15"/>
          <w:highlight w:val="none"/>
          <w:lang w:val="en-US" w:eastAsia="zh-CN"/>
        </w:rPr>
        <w:t>132336197010182019</w:t>
      </w:r>
      <w:r>
        <w:rPr>
          <w:rFonts w:hint="eastAsia"/>
          <w:sz w:val="15"/>
          <w:szCs w:val="15"/>
        </w:rPr>
        <w:t xml:space="preserve">  </w:t>
      </w:r>
      <w:r>
        <w:rPr>
          <w:rFonts w:hint="eastAsia"/>
          <w:sz w:val="15"/>
          <w:szCs w:val="15"/>
          <w:lang w:val="en-US" w:eastAsia="zh-CN"/>
        </w:rPr>
        <w:t>冀A2506T</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