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刘利伟</w:t>
      </w:r>
      <w:r>
        <w:rPr>
          <w:rFonts w:hint="eastAsia"/>
          <w:sz w:val="15"/>
          <w:szCs w:val="15"/>
          <w:highlight w:val="none"/>
        </w:rPr>
        <w:t>，</w:t>
      </w:r>
      <w:r>
        <w:rPr>
          <w:rFonts w:hint="eastAsia"/>
          <w:sz w:val="15"/>
          <w:szCs w:val="15"/>
          <w:highlight w:val="none"/>
          <w:lang w:val="en-US" w:eastAsia="zh-CN"/>
        </w:rPr>
        <w:t>132335198109181313</w:t>
      </w:r>
      <w:r>
        <w:rPr>
          <w:rFonts w:hint="eastAsia"/>
          <w:sz w:val="15"/>
          <w:szCs w:val="15"/>
        </w:rPr>
        <w:t xml:space="preserve">  </w:t>
      </w:r>
      <w:r>
        <w:rPr>
          <w:rFonts w:hint="eastAsia"/>
          <w:sz w:val="15"/>
          <w:szCs w:val="15"/>
          <w:lang w:val="en-US" w:eastAsia="zh-CN"/>
        </w:rPr>
        <w:t>冀A190FT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