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赵风龙</w:t>
      </w:r>
      <w:r>
        <w:rPr>
          <w:rFonts w:hint="eastAsia"/>
          <w:sz w:val="15"/>
          <w:szCs w:val="15"/>
          <w:highlight w:val="none"/>
        </w:rPr>
        <w:t>，</w:t>
      </w:r>
      <w:r>
        <w:rPr>
          <w:rFonts w:hint="eastAsia"/>
          <w:sz w:val="15"/>
          <w:szCs w:val="15"/>
          <w:highlight w:val="none"/>
          <w:lang w:val="en-US" w:eastAsia="zh-CN"/>
        </w:rPr>
        <w:t>132335198108200615</w:t>
      </w:r>
      <w:r>
        <w:rPr>
          <w:rFonts w:hint="eastAsia"/>
          <w:sz w:val="15"/>
          <w:szCs w:val="15"/>
        </w:rPr>
        <w:t xml:space="preserve">  </w:t>
      </w:r>
      <w:r>
        <w:rPr>
          <w:rFonts w:hint="eastAsia"/>
          <w:sz w:val="15"/>
          <w:szCs w:val="15"/>
          <w:lang w:val="en-US" w:eastAsia="zh-CN"/>
        </w:rPr>
        <w:t>冀A09142D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