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周雷达</w:t>
      </w:r>
      <w:r>
        <w:rPr>
          <w:rFonts w:hint="eastAsia"/>
          <w:sz w:val="15"/>
          <w:szCs w:val="15"/>
          <w:highlight w:val="none"/>
        </w:rPr>
        <w:t>，</w:t>
      </w:r>
      <w:r>
        <w:rPr>
          <w:rFonts w:hint="eastAsia"/>
          <w:sz w:val="15"/>
          <w:szCs w:val="15"/>
          <w:highlight w:val="none"/>
          <w:lang w:val="en-US" w:eastAsia="zh-CN"/>
        </w:rPr>
        <w:t>132335198102271471</w:t>
      </w:r>
      <w:r>
        <w:rPr>
          <w:rFonts w:hint="eastAsia"/>
          <w:sz w:val="15"/>
          <w:szCs w:val="15"/>
        </w:rPr>
        <w:t xml:space="preserve">  </w:t>
      </w:r>
      <w:r>
        <w:rPr>
          <w:rFonts w:hint="eastAsia"/>
          <w:sz w:val="15"/>
          <w:szCs w:val="15"/>
          <w:lang w:val="en-US" w:eastAsia="zh-CN"/>
        </w:rPr>
        <w:t>冀A39021D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