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盖会龙</w:t>
      </w:r>
      <w:r>
        <w:rPr>
          <w:rFonts w:hint="eastAsia"/>
          <w:sz w:val="15"/>
          <w:szCs w:val="15"/>
          <w:highlight w:val="none"/>
        </w:rPr>
        <w:t>，</w:t>
      </w:r>
      <w:r>
        <w:rPr>
          <w:rFonts w:hint="eastAsia"/>
          <w:sz w:val="15"/>
          <w:szCs w:val="15"/>
          <w:highlight w:val="none"/>
          <w:lang w:val="en-US" w:eastAsia="zh-CN"/>
        </w:rPr>
        <w:t>13233519801111071X</w:t>
      </w:r>
      <w:r>
        <w:rPr>
          <w:rFonts w:hint="eastAsia"/>
          <w:sz w:val="15"/>
          <w:szCs w:val="15"/>
        </w:rPr>
        <w:t xml:space="preserve">  </w:t>
      </w:r>
      <w:r>
        <w:rPr>
          <w:rFonts w:hint="eastAsia"/>
          <w:sz w:val="15"/>
          <w:szCs w:val="15"/>
          <w:lang w:val="en-US" w:eastAsia="zh-CN"/>
        </w:rPr>
        <w:t>沪A89651D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