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康艳梅</w:t>
      </w:r>
      <w:r>
        <w:rPr>
          <w:rFonts w:hint="eastAsia"/>
          <w:sz w:val="15"/>
          <w:szCs w:val="15"/>
          <w:highlight w:val="none"/>
        </w:rPr>
        <w:t>，</w:t>
      </w:r>
      <w:r>
        <w:rPr>
          <w:rFonts w:hint="eastAsia"/>
          <w:sz w:val="15"/>
          <w:szCs w:val="15"/>
          <w:highlight w:val="none"/>
          <w:lang w:val="en-US" w:eastAsia="zh-CN"/>
        </w:rPr>
        <w:t>132335198005021024</w:t>
      </w:r>
      <w:r>
        <w:rPr>
          <w:rFonts w:hint="eastAsia"/>
          <w:sz w:val="15"/>
          <w:szCs w:val="15"/>
        </w:rPr>
        <w:t xml:space="preserve">  </w:t>
      </w:r>
      <w:r>
        <w:rPr>
          <w:rFonts w:hint="eastAsia"/>
          <w:sz w:val="15"/>
          <w:szCs w:val="15"/>
          <w:lang w:val="en-US" w:eastAsia="zh-CN"/>
        </w:rPr>
        <w:t>冀AQ4713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