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贾永利</w:t>
      </w:r>
      <w:r>
        <w:rPr>
          <w:rFonts w:hint="eastAsia"/>
          <w:sz w:val="15"/>
          <w:szCs w:val="15"/>
          <w:highlight w:val="none"/>
        </w:rPr>
        <w:t>，</w:t>
      </w:r>
      <w:r>
        <w:rPr>
          <w:rFonts w:hint="eastAsia"/>
          <w:sz w:val="15"/>
          <w:szCs w:val="15"/>
          <w:highlight w:val="none"/>
          <w:lang w:val="en-US" w:eastAsia="zh-CN"/>
        </w:rPr>
        <w:t>132335198001101019</w:t>
      </w:r>
      <w:r>
        <w:rPr>
          <w:rFonts w:hint="eastAsia"/>
          <w:sz w:val="15"/>
          <w:szCs w:val="15"/>
        </w:rPr>
        <w:t xml:space="preserve">  </w:t>
      </w:r>
      <w:r>
        <w:rPr>
          <w:rFonts w:hint="eastAsia"/>
          <w:sz w:val="15"/>
          <w:szCs w:val="15"/>
          <w:lang w:val="en-US" w:eastAsia="zh-CN"/>
        </w:rPr>
        <w:t>冀AKB816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