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赵秀娟</w:t>
      </w:r>
      <w:r>
        <w:rPr>
          <w:rFonts w:hint="eastAsia"/>
          <w:sz w:val="15"/>
          <w:szCs w:val="15"/>
          <w:highlight w:val="none"/>
        </w:rPr>
        <w:t>，</w:t>
      </w:r>
      <w:r>
        <w:rPr>
          <w:rFonts w:hint="eastAsia"/>
          <w:sz w:val="15"/>
          <w:szCs w:val="15"/>
          <w:highlight w:val="none"/>
          <w:lang w:val="en-US" w:eastAsia="zh-CN"/>
        </w:rPr>
        <w:t>13233519790418042X</w:t>
      </w:r>
      <w:r>
        <w:rPr>
          <w:rFonts w:hint="eastAsia"/>
          <w:sz w:val="15"/>
          <w:szCs w:val="15"/>
        </w:rPr>
        <w:t xml:space="preserve">  </w:t>
      </w:r>
      <w:r>
        <w:rPr>
          <w:rFonts w:hint="eastAsia"/>
          <w:sz w:val="15"/>
          <w:szCs w:val="15"/>
          <w:lang w:val="en-US" w:eastAsia="zh-CN"/>
        </w:rPr>
        <w:t>冀A02380D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