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范彦鹏</w:t>
      </w:r>
      <w:r>
        <w:rPr>
          <w:rFonts w:hint="eastAsia"/>
          <w:sz w:val="15"/>
          <w:szCs w:val="15"/>
          <w:highlight w:val="none"/>
        </w:rPr>
        <w:t>，</w:t>
      </w:r>
      <w:r>
        <w:rPr>
          <w:rFonts w:hint="eastAsia"/>
          <w:sz w:val="15"/>
          <w:szCs w:val="15"/>
          <w:highlight w:val="none"/>
          <w:lang w:val="en-US" w:eastAsia="zh-CN"/>
        </w:rPr>
        <w:t>132335197902250252</w:t>
      </w:r>
      <w:r>
        <w:rPr>
          <w:rFonts w:hint="eastAsia"/>
          <w:sz w:val="15"/>
          <w:szCs w:val="15"/>
        </w:rPr>
        <w:t xml:space="preserve">  </w:t>
      </w:r>
      <w:r>
        <w:rPr>
          <w:rFonts w:hint="eastAsia"/>
          <w:sz w:val="15"/>
          <w:szCs w:val="15"/>
          <w:lang w:val="en-US" w:eastAsia="zh-CN"/>
        </w:rPr>
        <w:t>冀A936BR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