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康春卫</w:t>
      </w:r>
      <w:r>
        <w:rPr>
          <w:rFonts w:hint="eastAsia"/>
          <w:sz w:val="15"/>
          <w:szCs w:val="15"/>
          <w:highlight w:val="none"/>
        </w:rPr>
        <w:t>，</w:t>
      </w:r>
      <w:r>
        <w:rPr>
          <w:rFonts w:hint="eastAsia"/>
          <w:sz w:val="15"/>
          <w:szCs w:val="15"/>
          <w:highlight w:val="none"/>
          <w:lang w:val="en-US" w:eastAsia="zh-CN"/>
        </w:rPr>
        <w:t>132335197810080030</w:t>
      </w:r>
      <w:r>
        <w:rPr>
          <w:rFonts w:hint="eastAsia"/>
          <w:sz w:val="15"/>
          <w:szCs w:val="15"/>
        </w:rPr>
        <w:t xml:space="preserve">  </w:t>
      </w:r>
      <w:r>
        <w:rPr>
          <w:rFonts w:hint="eastAsia"/>
          <w:sz w:val="15"/>
          <w:szCs w:val="15"/>
          <w:lang w:val="en-US" w:eastAsia="zh-CN"/>
        </w:rPr>
        <w:t>冀A128KX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